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Literary Terms / Figurative Language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Theme</w:t>
      </w:r>
      <w:r w:rsidDel="00000000" w:rsidR="00000000" w:rsidRPr="00000000">
        <w:rPr>
          <w:sz w:val="20"/>
          <w:szCs w:val="20"/>
          <w:rtl w:val="0"/>
        </w:rPr>
        <w:t xml:space="preserve">: (1) the abstract concept explored in a literary work; (2) frequently recurring ideas, such as enjoy-life while-you-can; (3) repetition of a meaningful element in a work, such as references to sight, vision, and blindness in </w:t>
      </w:r>
      <w:r w:rsidDel="00000000" w:rsidR="00000000" w:rsidRPr="00000000">
        <w:rPr>
          <w:i w:val="1"/>
          <w:sz w:val="20"/>
          <w:szCs w:val="20"/>
          <w:rtl w:val="0"/>
        </w:rPr>
        <w:t xml:space="preserve">Oedipus Rex</w:t>
      </w:r>
      <w:r w:rsidDel="00000000" w:rsidR="00000000" w:rsidRPr="00000000">
        <w:rPr>
          <w:sz w:val="20"/>
          <w:szCs w:val="20"/>
          <w:rtl w:val="0"/>
        </w:rPr>
        <w:t xml:space="preserve">. Sometimes the theme is also called the motif. Themes in </w:t>
      </w:r>
      <w:r w:rsidDel="00000000" w:rsidR="00000000" w:rsidRPr="00000000">
        <w:rPr>
          <w:i w:val="1"/>
          <w:sz w:val="20"/>
          <w:szCs w:val="20"/>
          <w:rtl w:val="0"/>
        </w:rPr>
        <w:t xml:space="preserve">Hamlet</w:t>
      </w:r>
      <w:r w:rsidDel="00000000" w:rsidR="00000000" w:rsidRPr="00000000">
        <w:rPr>
          <w:sz w:val="20"/>
          <w:szCs w:val="20"/>
          <w:rtl w:val="0"/>
        </w:rPr>
        <w:t xml:space="preserve"> include the nature of filial duty and the dilemma of the idealist in a non-ideal situation. A theme in Keats's "Ode to a Nightingale" is the difficulty of correlating the ideal and the real.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 </w:t>
      </w:r>
      <w:r w:rsidDel="00000000" w:rsidR="00000000" w:rsidRPr="00000000">
        <w:rPr>
          <w:b w:val="1"/>
          <w:sz w:val="20"/>
          <w:szCs w:val="20"/>
          <w:rtl w:val="0"/>
        </w:rPr>
        <w:t xml:space="preserve">allusion:</w:t>
      </w:r>
      <w:r w:rsidDel="00000000" w:rsidR="00000000" w:rsidRPr="00000000">
        <w:rPr>
          <w:sz w:val="20"/>
          <w:szCs w:val="20"/>
          <w:rtl w:val="0"/>
        </w:rPr>
        <w:t xml:space="preserve"> a brief reference to a person, event, place, or phrase. The writer assumes will recognize the reference. For instance, most of us would know the difference between a mechanic's being as reliable as George Washington or as reliable as Benedict Arnold. Allusions that are commonplace for readers in one era may require footnotes for readers in a later time.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Denotation:</w:t>
      </w:r>
      <w:r w:rsidDel="00000000" w:rsidR="00000000" w:rsidRPr="00000000">
        <w:rPr>
          <w:sz w:val="20"/>
          <w:szCs w:val="20"/>
          <w:rtl w:val="0"/>
        </w:rPr>
        <w:t xml:space="preserve"> the literal meaning of a word; there are no emotions, values, or images associated with denotative meaning. Scientific and mathematical language carries few, if any emotional or connotative meanings.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Connotation:</w:t>
      </w:r>
      <w:r w:rsidDel="00000000" w:rsidR="00000000" w:rsidRPr="00000000">
        <w:rPr>
          <w:sz w:val="20"/>
          <w:szCs w:val="20"/>
          <w:rtl w:val="0"/>
        </w:rPr>
        <w:t xml:space="preserve"> the emotions, values, or images associated with a word. The intensity of emotions or the power of the values and images associated with a word varies. Words connected with religion, politics, and sex tend to have the strongest feelings and images associated with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For most people, the word </w:t>
      </w:r>
      <w:r w:rsidDel="00000000" w:rsidR="00000000" w:rsidRPr="00000000">
        <w:rPr>
          <w:i w:val="1"/>
          <w:sz w:val="20"/>
          <w:szCs w:val="20"/>
          <w:rtl w:val="0"/>
        </w:rPr>
        <w:t xml:space="preserve">mother</w:t>
      </w:r>
      <w:r w:rsidDel="00000000" w:rsidR="00000000" w:rsidRPr="00000000">
        <w:rPr>
          <w:sz w:val="20"/>
          <w:szCs w:val="20"/>
          <w:rtl w:val="0"/>
        </w:rPr>
        <w:t xml:space="preserve"> calls up very strong positive feelings and associations--loving, self-sacrificing, always there for you, understanding; the denotative meaning, on the other hand, is simply "a female animal who has borne one or more chldren." Of course connotative meanings do not necessarily reflect reality; for instance, if someone said, "His mother is not very motherly," you would immediately understand the difference between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motherly</w:t>
      </w:r>
      <w:r w:rsidDel="00000000" w:rsidR="00000000" w:rsidRPr="00000000">
        <w:rPr>
          <w:sz w:val="20"/>
          <w:szCs w:val="20"/>
          <w:rtl w:val="0"/>
        </w:rPr>
        <w:t xml:space="preserve"> (connotation)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mother</w:t>
      </w:r>
      <w:r w:rsidDel="00000000" w:rsidR="00000000" w:rsidRPr="00000000">
        <w:rPr>
          <w:sz w:val="20"/>
          <w:szCs w:val="20"/>
          <w:rtl w:val="0"/>
        </w:rPr>
        <w:t xml:space="preserve"> (denotation).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simile:</w:t>
      </w:r>
      <w:r w:rsidDel="00000000" w:rsidR="00000000" w:rsidRPr="00000000">
        <w:rPr>
          <w:sz w:val="20"/>
          <w:szCs w:val="20"/>
          <w:rtl w:val="0"/>
        </w:rPr>
        <w:t xml:space="preserve"> a comparison of two dissimilar things using "like" or "as", e.g., "my love is like a red, red rose" (Robert Burns).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metaphor:</w:t>
      </w:r>
      <w:r w:rsidDel="00000000" w:rsidR="00000000" w:rsidRPr="00000000">
        <w:rPr>
          <w:sz w:val="20"/>
          <w:szCs w:val="20"/>
          <w:rtl w:val="0"/>
        </w:rPr>
        <w:t xml:space="preserve"> a comparison of two dissimilar things which does not use "like" or "as," e.g., "my love is a red, red rose" (Lilia Melani).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Personification:</w:t>
      </w:r>
      <w:r w:rsidDel="00000000" w:rsidR="00000000" w:rsidRPr="00000000">
        <w:rPr>
          <w:sz w:val="20"/>
          <w:szCs w:val="20"/>
          <w:rtl w:val="0"/>
        </w:rPr>
        <w:t xml:space="preserve"> treating abstractions or inanimate objects as human, that is, giving them human attributes, powers, or feelings, e.g., "nature wept" or "the wind whispered many truths to me."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Hyperbole:</w:t>
      </w:r>
      <w:r w:rsidDel="00000000" w:rsidR="00000000" w:rsidRPr="00000000">
        <w:rPr>
          <w:sz w:val="20"/>
          <w:szCs w:val="20"/>
          <w:rtl w:val="0"/>
        </w:rPr>
        <w:t xml:space="preserve"> exaggeration, often extravagant; it may be used for serious or for comic effect.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Symbol:</w:t>
      </w:r>
      <w:r w:rsidDel="00000000" w:rsidR="00000000" w:rsidRPr="00000000">
        <w:rPr>
          <w:sz w:val="20"/>
          <w:szCs w:val="20"/>
          <w:rtl w:val="0"/>
        </w:rPr>
        <w:t xml:space="preserve"> in general terms, anything that stands for something else. Obvious examples are flags, which symbolize a nation; the cross is a symbol for Christianity; Uncle Sam a symbol for the United States. In </w:t>
      </w:r>
      <w:r w:rsidDel="00000000" w:rsidR="00000000" w:rsidRPr="00000000">
        <w:rPr>
          <w:sz w:val="20"/>
          <w:szCs w:val="20"/>
          <w:rtl w:val="0"/>
        </w:rPr>
        <w:t xml:space="preserve">literature, a symbol is expected to have significance. Keats starts his ode with a real nightingale, but quickly it becomes a symbol, standing for a life of pure, unmixed joy; then before the end of the poem it becomes only a bird again.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Syntax</w:t>
      </w:r>
      <w:r w:rsidDel="00000000" w:rsidR="00000000" w:rsidRPr="00000000">
        <w:rPr>
          <w:sz w:val="20"/>
          <w:szCs w:val="20"/>
          <w:rtl w:val="0"/>
        </w:rPr>
        <w:t xml:space="preserve">:  (Word Order / Sentence Structure) The way an author chooses to group words or text.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Tone</w:t>
      </w:r>
      <w:r w:rsidDel="00000000" w:rsidR="00000000" w:rsidRPr="00000000">
        <w:rPr>
          <w:sz w:val="20"/>
          <w:szCs w:val="20"/>
          <w:rtl w:val="0"/>
        </w:rPr>
        <w:t xml:space="preserve">: the writer's attitude toward the material and/or readers. Tone may be playful</w:t>
      </w:r>
      <w:r w:rsidDel="00000000" w:rsidR="00000000" w:rsidRPr="00000000">
        <w:rPr>
          <w:sz w:val="20"/>
          <w:szCs w:val="20"/>
          <w:rtl w:val="0"/>
        </w:rPr>
        <w:t xml:space="preserve">, formal, intimate, angry, serious, ironic, outraged, baffled, tender, serene, depressed, etc.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